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 Owner Defined Value Statement / Conditions of Satisfaction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Allowable/Expected Cost: </w:t>
      </w:r>
      <w:r w:rsidDel="00000000" w:rsidR="00000000" w:rsidRPr="00000000">
        <w:rPr>
          <w:sz w:val="36"/>
          <w:szCs w:val="36"/>
          <w:rtl w:val="0"/>
        </w:rPr>
        <w:t xml:space="preserve"> $495,000,000.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Project Completion on or Before August 31,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Maximizing first cost value is prefered to reducing long term operational cost.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Safety - No lost time incidents.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Total Allowable Area: 1.3M sf.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LEED Platinum required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Exterior: Unitized glass curtainwall and perforated panel tower top.  Public art is anticipated to be added to tower top. 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Bridge on level 5 and plaza need to be open when the adjacent transit center 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Interior:  Core and shell buildout with public space on level 1 and 5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Vertical Transportation - Provide 34 elevators with high-end cab interiors.  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sz w:val="36"/>
          <w:szCs w:val="36"/>
          <w:highlight w:val="white"/>
        </w:rPr>
      </w:pPr>
      <w:r w:rsidDel="00000000" w:rsidR="00000000" w:rsidRPr="00000000">
        <w:rPr>
          <w:sz w:val="36"/>
          <w:szCs w:val="36"/>
          <w:highlight w:val="white"/>
          <w:rtl w:val="0"/>
        </w:rPr>
        <w:t xml:space="preserve">Demonstrate that an ILPD approach utilizing an IFOA delivery is a viable model for future core and shell projects. 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